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869" w:rsidRDefault="00FC5869" w:rsidP="00FC5869">
      <w:pPr>
        <w:pStyle w:val="a3"/>
        <w:shd w:val="clear" w:color="auto" w:fill="FFFFFF"/>
        <w:spacing w:before="0" w:beforeAutospacing="0" w:after="0" w:afterAutospacing="0" w:line="555" w:lineRule="atLeast"/>
        <w:jc w:val="center"/>
        <w:rPr>
          <w:color w:val="000000"/>
          <w:sz w:val="20"/>
          <w:szCs w:val="20"/>
        </w:rPr>
      </w:pPr>
      <w:r>
        <w:rPr>
          <w:rFonts w:ascii="方正小标宋简体" w:eastAsia="方正小标宋简体" w:hint="eastAsia"/>
          <w:color w:val="000000"/>
          <w:sz w:val="44"/>
          <w:szCs w:val="44"/>
        </w:rPr>
        <w:t>《2020年咸宁思想库课题指南》</w:t>
      </w:r>
    </w:p>
    <w:p w:rsidR="00FC5869" w:rsidRDefault="00FC5869" w:rsidP="00FC5869">
      <w:pPr>
        <w:pStyle w:val="a3"/>
        <w:shd w:val="clear" w:color="auto" w:fill="FFFFFF"/>
        <w:spacing w:before="0" w:beforeAutospacing="0" w:after="240" w:afterAutospacing="0" w:line="293" w:lineRule="atLeast"/>
        <w:rPr>
          <w:rFonts w:hint="eastAsia"/>
          <w:color w:val="000000"/>
          <w:sz w:val="20"/>
          <w:szCs w:val="20"/>
        </w:rPr>
      </w:pPr>
      <w:r>
        <w:rPr>
          <w:rStyle w:val="a4"/>
          <w:rFonts w:hint="eastAsia"/>
          <w:color w:val="000000"/>
        </w:rPr>
        <w:t> </w:t>
      </w:r>
    </w:p>
    <w:p w:rsidR="00FC5869" w:rsidRDefault="00FC5869" w:rsidP="00FC5869">
      <w:pPr>
        <w:pStyle w:val="a3"/>
        <w:shd w:val="clear" w:color="auto" w:fill="FFFFFF"/>
        <w:spacing w:before="0" w:beforeAutospacing="0" w:after="0" w:afterAutospacing="0" w:line="495" w:lineRule="atLeast"/>
        <w:rPr>
          <w:rFonts w:hint="eastAsia"/>
          <w:color w:val="000000"/>
          <w:sz w:val="20"/>
          <w:szCs w:val="20"/>
        </w:rPr>
      </w:pPr>
      <w:r>
        <w:rPr>
          <w:rStyle w:val="a4"/>
          <w:rFonts w:ascii="黑体" w:eastAsia="黑体" w:hAnsi="黑体" w:hint="eastAsia"/>
          <w:color w:val="000000"/>
          <w:sz w:val="32"/>
          <w:szCs w:val="32"/>
        </w:rPr>
        <w:t>－．重点研究课题</w:t>
      </w:r>
      <w:r>
        <w:rPr>
          <w:rFonts w:hint="eastAsia"/>
          <w:color w:val="000000"/>
        </w:rPr>
        <w:br/>
      </w:r>
      <w:r>
        <w:rPr>
          <w:rFonts w:ascii="仿宋_GB2312" w:eastAsia="仿宋_GB2312" w:hint="eastAsia"/>
          <w:color w:val="000000"/>
          <w:sz w:val="32"/>
          <w:szCs w:val="32"/>
        </w:rPr>
        <w:t>1.咸宁打造特色产业发展增长极的路径探索——以咸宁</w:t>
      </w:r>
      <w:proofErr w:type="gramStart"/>
      <w:r>
        <w:rPr>
          <w:rFonts w:ascii="仿宋_GB2312" w:eastAsia="仿宋_GB2312" w:hint="eastAsia"/>
          <w:color w:val="000000"/>
          <w:sz w:val="32"/>
          <w:szCs w:val="32"/>
        </w:rPr>
        <w:t>茶产业</w:t>
      </w:r>
      <w:proofErr w:type="gramEnd"/>
      <w:r>
        <w:rPr>
          <w:rFonts w:ascii="仿宋_GB2312" w:eastAsia="仿宋_GB2312" w:hint="eastAsia"/>
          <w:color w:val="000000"/>
          <w:sz w:val="32"/>
          <w:szCs w:val="32"/>
        </w:rPr>
        <w:t>发展为例</w:t>
      </w:r>
      <w:r>
        <w:rPr>
          <w:rFonts w:hint="eastAsia"/>
          <w:color w:val="000000"/>
        </w:rPr>
        <w:br/>
      </w:r>
      <w:r>
        <w:rPr>
          <w:rFonts w:ascii="仿宋_GB2312" w:eastAsia="仿宋_GB2312" w:hint="eastAsia"/>
          <w:color w:val="000000"/>
          <w:sz w:val="32"/>
          <w:szCs w:val="32"/>
        </w:rPr>
        <w:t>2.新冠疫情防控视野下的咸宁公共卫生应急管理能力研究</w:t>
      </w:r>
      <w:r>
        <w:rPr>
          <w:rFonts w:ascii="仿宋_GB2312" w:eastAsia="仿宋_GB2312" w:hint="eastAsia"/>
          <w:color w:val="000000"/>
          <w:sz w:val="32"/>
          <w:szCs w:val="32"/>
        </w:rPr>
        <w:br/>
        <w:t>3.咸宁传统产业信息化改造路径研究</w:t>
      </w:r>
      <w:r>
        <w:rPr>
          <w:rFonts w:ascii="仿宋_GB2312" w:eastAsia="仿宋_GB2312" w:hint="eastAsia"/>
          <w:color w:val="000000"/>
          <w:sz w:val="32"/>
          <w:szCs w:val="32"/>
        </w:rPr>
        <w:br/>
        <w:t>4.咸宁完善服务体系优化营商环境研究</w:t>
      </w:r>
      <w:r>
        <w:rPr>
          <w:rFonts w:ascii="仿宋_GB2312" w:eastAsia="仿宋_GB2312" w:hint="eastAsia"/>
          <w:color w:val="000000"/>
          <w:sz w:val="32"/>
          <w:szCs w:val="32"/>
        </w:rPr>
        <w:br/>
        <w:t>5.咸宁优化国土空间规划生产力布局研究</w:t>
      </w:r>
      <w:r>
        <w:rPr>
          <w:rFonts w:ascii="仿宋_GB2312" w:eastAsia="仿宋_GB2312" w:hint="eastAsia"/>
          <w:color w:val="000000"/>
          <w:sz w:val="32"/>
          <w:szCs w:val="32"/>
        </w:rPr>
        <w:br/>
        <w:t>6.提升咸宁干部制度执行力和治理能力路径研究</w:t>
      </w:r>
      <w:r>
        <w:rPr>
          <w:rFonts w:ascii="仿宋_GB2312" w:eastAsia="仿宋_GB2312" w:hint="eastAsia"/>
          <w:color w:val="000000"/>
          <w:sz w:val="32"/>
          <w:szCs w:val="32"/>
        </w:rPr>
        <w:br/>
        <w:t>7.财政事权和支出责任划分改革研究——以咸宁市为例</w:t>
      </w:r>
      <w:r>
        <w:rPr>
          <w:rFonts w:ascii="仿宋_GB2312" w:eastAsia="仿宋_GB2312" w:hint="eastAsia"/>
          <w:color w:val="000000"/>
          <w:sz w:val="32"/>
          <w:szCs w:val="32"/>
        </w:rPr>
        <w:br/>
        <w:t>8.咸宁生态优势转化机制研究</w:t>
      </w:r>
      <w:r>
        <w:rPr>
          <w:rFonts w:ascii="仿宋_GB2312" w:eastAsia="仿宋_GB2312" w:hint="eastAsia"/>
          <w:color w:val="000000"/>
          <w:sz w:val="32"/>
          <w:szCs w:val="32"/>
        </w:rPr>
        <w:br/>
        <w:t>9.咸宁巩固脱贫成果的长效机制研究</w:t>
      </w:r>
      <w:r>
        <w:rPr>
          <w:rFonts w:ascii="仿宋_GB2312" w:eastAsia="仿宋_GB2312" w:hint="eastAsia"/>
          <w:color w:val="000000"/>
          <w:sz w:val="32"/>
          <w:szCs w:val="32"/>
        </w:rPr>
        <w:br/>
        <w:t>10.咸宁地方特色文化抽象概括与具象呈现研究</w:t>
      </w:r>
      <w:r>
        <w:rPr>
          <w:rFonts w:ascii="仿宋_GB2312" w:eastAsia="仿宋_GB2312" w:hint="eastAsia"/>
          <w:color w:val="000000"/>
          <w:sz w:val="32"/>
          <w:szCs w:val="32"/>
        </w:rPr>
        <w:br/>
      </w:r>
      <w:r>
        <w:rPr>
          <w:rStyle w:val="a4"/>
          <w:rFonts w:ascii="黑体" w:eastAsia="黑体" w:hAnsi="黑体" w:hint="eastAsia"/>
          <w:color w:val="000000"/>
          <w:sz w:val="32"/>
          <w:szCs w:val="32"/>
        </w:rPr>
        <w:t>二．其他研究课题</w:t>
      </w:r>
      <w:r>
        <w:rPr>
          <w:rFonts w:hint="eastAsia"/>
          <w:color w:val="000000"/>
        </w:rPr>
        <w:br/>
      </w:r>
      <w:r>
        <w:rPr>
          <w:rFonts w:ascii="仿宋_GB2312" w:eastAsia="仿宋_GB2312" w:hint="eastAsia"/>
          <w:color w:val="000000"/>
          <w:sz w:val="32"/>
          <w:szCs w:val="32"/>
        </w:rPr>
        <w:t>1.咸宁民营经济高质量发展对策研究</w:t>
      </w:r>
      <w:r>
        <w:rPr>
          <w:rFonts w:ascii="仿宋_GB2312" w:eastAsia="仿宋_GB2312" w:hint="eastAsia"/>
          <w:color w:val="000000"/>
          <w:sz w:val="32"/>
          <w:szCs w:val="32"/>
        </w:rPr>
        <w:br/>
        <w:t>2.咸宁推进外贸进出口研究</w:t>
      </w:r>
      <w:r>
        <w:rPr>
          <w:rFonts w:ascii="仿宋_GB2312" w:eastAsia="仿宋_GB2312" w:hint="eastAsia"/>
          <w:color w:val="000000"/>
          <w:sz w:val="32"/>
          <w:szCs w:val="32"/>
        </w:rPr>
        <w:br/>
        <w:t>3.咸宁金融服务经济发展研究</w:t>
      </w:r>
      <w:r>
        <w:rPr>
          <w:rFonts w:ascii="仿宋_GB2312" w:eastAsia="仿宋_GB2312" w:hint="eastAsia"/>
          <w:color w:val="000000"/>
          <w:sz w:val="32"/>
          <w:szCs w:val="32"/>
        </w:rPr>
        <w:br/>
        <w:t>4.咸宁第三产业提档升级研究</w:t>
      </w:r>
      <w:r>
        <w:rPr>
          <w:rFonts w:ascii="仿宋_GB2312" w:eastAsia="仿宋_GB2312" w:hint="eastAsia"/>
          <w:color w:val="000000"/>
          <w:sz w:val="32"/>
          <w:szCs w:val="32"/>
        </w:rPr>
        <w:br/>
        <w:t>5.咸宁全域旅游研究</w:t>
      </w:r>
      <w:r>
        <w:rPr>
          <w:rFonts w:ascii="仿宋_GB2312" w:eastAsia="仿宋_GB2312" w:hint="eastAsia"/>
          <w:color w:val="000000"/>
          <w:sz w:val="32"/>
          <w:szCs w:val="32"/>
        </w:rPr>
        <w:br/>
        <w:t>6.咸宁培育高新技术龙头企业的对策研究</w:t>
      </w:r>
      <w:r>
        <w:rPr>
          <w:rFonts w:ascii="仿宋_GB2312" w:eastAsia="仿宋_GB2312" w:hint="eastAsia"/>
          <w:color w:val="000000"/>
          <w:sz w:val="32"/>
          <w:szCs w:val="32"/>
        </w:rPr>
        <w:br/>
        <w:t>7.新冠肺炎疫情对咸宁经济高质量发展的影响及对策</w:t>
      </w:r>
      <w:r>
        <w:rPr>
          <w:rFonts w:ascii="仿宋_GB2312" w:eastAsia="仿宋_GB2312" w:hint="eastAsia"/>
          <w:color w:val="000000"/>
          <w:sz w:val="32"/>
          <w:szCs w:val="32"/>
        </w:rPr>
        <w:br/>
      </w:r>
      <w:r>
        <w:rPr>
          <w:rFonts w:ascii="仿宋_GB2312" w:eastAsia="仿宋_GB2312" w:hint="eastAsia"/>
          <w:color w:val="000000"/>
          <w:sz w:val="32"/>
          <w:szCs w:val="32"/>
        </w:rPr>
        <w:lastRenderedPageBreak/>
        <w:t>8.加强和完善咸宁城乡社区治理研究</w:t>
      </w:r>
      <w:r>
        <w:rPr>
          <w:rFonts w:ascii="仿宋_GB2312" w:eastAsia="仿宋_GB2312" w:hint="eastAsia"/>
          <w:color w:val="000000"/>
          <w:sz w:val="32"/>
          <w:szCs w:val="32"/>
        </w:rPr>
        <w:br/>
        <w:t>9.咸宁公园城市建设的目标体系研究</w:t>
      </w:r>
    </w:p>
    <w:p w:rsidR="00FC5869" w:rsidRDefault="00FC5869" w:rsidP="00FC5869">
      <w:pPr>
        <w:pStyle w:val="a3"/>
        <w:shd w:val="clear" w:color="auto" w:fill="FFFFFF"/>
        <w:spacing w:before="0" w:beforeAutospacing="0" w:after="0" w:afterAutospacing="0" w:line="495" w:lineRule="atLeast"/>
        <w:rPr>
          <w:rFonts w:hint="eastAsia"/>
          <w:color w:val="000000"/>
          <w:sz w:val="20"/>
          <w:szCs w:val="2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10.疫情防控下的心理干预研究</w:t>
      </w:r>
      <w:r>
        <w:rPr>
          <w:rFonts w:ascii="仿宋_GB2312" w:eastAsia="仿宋_GB2312" w:hint="eastAsia"/>
          <w:color w:val="000000"/>
          <w:sz w:val="32"/>
          <w:szCs w:val="32"/>
        </w:rPr>
        <w:br/>
        <w:t>11.咸宁特色文化遗产保护研究</w:t>
      </w:r>
      <w:r>
        <w:rPr>
          <w:rFonts w:ascii="仿宋_GB2312" w:eastAsia="仿宋_GB2312" w:hint="eastAsia"/>
          <w:color w:val="000000"/>
          <w:sz w:val="32"/>
          <w:szCs w:val="32"/>
        </w:rPr>
        <w:br/>
        <w:t>12.增强幕</w:t>
      </w:r>
      <w:proofErr w:type="gramStart"/>
      <w:r>
        <w:rPr>
          <w:rFonts w:ascii="仿宋_GB2312" w:eastAsia="仿宋_GB2312" w:hint="eastAsia"/>
          <w:color w:val="000000"/>
          <w:sz w:val="32"/>
          <w:szCs w:val="32"/>
        </w:rPr>
        <w:t>阜</w:t>
      </w:r>
      <w:proofErr w:type="gramEnd"/>
      <w:r>
        <w:rPr>
          <w:rFonts w:ascii="仿宋_GB2312" w:eastAsia="仿宋_GB2312" w:hint="eastAsia"/>
          <w:color w:val="000000"/>
          <w:sz w:val="32"/>
          <w:szCs w:val="32"/>
        </w:rPr>
        <w:t>山生态旅游公路聚合效应研究</w:t>
      </w:r>
    </w:p>
    <w:p w:rsidR="00FC5869" w:rsidRDefault="00FC5869" w:rsidP="00FC5869">
      <w:pPr>
        <w:pStyle w:val="a3"/>
        <w:shd w:val="clear" w:color="auto" w:fill="FFFFFF"/>
        <w:spacing w:before="0" w:beforeAutospacing="0" w:after="0" w:afterAutospacing="0" w:line="495" w:lineRule="atLeast"/>
        <w:rPr>
          <w:rFonts w:hint="eastAsia"/>
          <w:color w:val="000000"/>
          <w:sz w:val="20"/>
          <w:szCs w:val="2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13.咸宁桂花产业转型升级路径研究</w:t>
      </w:r>
    </w:p>
    <w:p w:rsidR="00FC5869" w:rsidRDefault="00FC5869" w:rsidP="00FC5869">
      <w:pPr>
        <w:pStyle w:val="a3"/>
        <w:shd w:val="clear" w:color="auto" w:fill="FFFFFF"/>
        <w:spacing w:before="0" w:beforeAutospacing="0" w:after="0" w:afterAutospacing="0" w:line="495" w:lineRule="atLeast"/>
        <w:rPr>
          <w:rFonts w:hint="eastAsia"/>
          <w:color w:val="000000"/>
          <w:sz w:val="20"/>
          <w:szCs w:val="2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14.星星竹海旅游景区改造升级路径研究</w:t>
      </w:r>
    </w:p>
    <w:p w:rsidR="00FC5869" w:rsidRDefault="00FC5869" w:rsidP="00FC5869">
      <w:pPr>
        <w:pStyle w:val="a3"/>
        <w:shd w:val="clear" w:color="auto" w:fill="FFFFFF"/>
        <w:spacing w:before="0" w:beforeAutospacing="0" w:after="0" w:afterAutospacing="0" w:line="495" w:lineRule="atLeast"/>
        <w:rPr>
          <w:rFonts w:hint="eastAsia"/>
          <w:color w:val="000000"/>
          <w:sz w:val="20"/>
          <w:szCs w:val="2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15.依托武汉做大咸宁智能机电产业的对策研究</w:t>
      </w:r>
    </w:p>
    <w:p w:rsidR="00FC5869" w:rsidRDefault="00FC5869" w:rsidP="00FC5869">
      <w:pPr>
        <w:pStyle w:val="a3"/>
        <w:shd w:val="clear" w:color="auto" w:fill="FFFFFF"/>
        <w:spacing w:before="0" w:beforeAutospacing="0" w:after="0" w:afterAutospacing="0" w:line="495" w:lineRule="atLeast"/>
        <w:rPr>
          <w:rFonts w:hint="eastAsia"/>
          <w:color w:val="000000"/>
          <w:sz w:val="20"/>
          <w:szCs w:val="2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16.乡村特色文化建设对村民素质和乡风民俗的影响研究</w:t>
      </w:r>
    </w:p>
    <w:p w:rsidR="00FC5869" w:rsidRDefault="00FC5869" w:rsidP="00FC5869">
      <w:pPr>
        <w:pStyle w:val="a3"/>
        <w:shd w:val="clear" w:color="auto" w:fill="FFFFFF"/>
        <w:spacing w:before="0" w:beforeAutospacing="0" w:after="0" w:afterAutospacing="0" w:line="495" w:lineRule="atLeast"/>
        <w:rPr>
          <w:rFonts w:hint="eastAsia"/>
          <w:color w:val="000000"/>
          <w:sz w:val="20"/>
          <w:szCs w:val="2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17.优化咸宁城区交通秩序的对策研究</w:t>
      </w:r>
    </w:p>
    <w:p w:rsidR="00FC5869" w:rsidRDefault="00FC5869" w:rsidP="00FC5869">
      <w:pPr>
        <w:pStyle w:val="a3"/>
        <w:shd w:val="clear" w:color="auto" w:fill="FFFFFF"/>
        <w:spacing w:before="0" w:beforeAutospacing="0" w:after="0" w:afterAutospacing="0" w:line="495" w:lineRule="atLeast"/>
        <w:rPr>
          <w:rFonts w:hint="eastAsia"/>
          <w:color w:val="000000"/>
          <w:sz w:val="20"/>
          <w:szCs w:val="2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18.提高咸宁招商引资质效对策研究</w:t>
      </w:r>
    </w:p>
    <w:p w:rsidR="00FC5869" w:rsidRDefault="00FC5869" w:rsidP="00FC5869">
      <w:pPr>
        <w:pStyle w:val="a3"/>
        <w:shd w:val="clear" w:color="auto" w:fill="FFFFFF"/>
        <w:spacing w:before="0" w:beforeAutospacing="0" w:after="0" w:afterAutospacing="0" w:line="495" w:lineRule="atLeast"/>
        <w:rPr>
          <w:rFonts w:hint="eastAsia"/>
          <w:color w:val="000000"/>
          <w:sz w:val="20"/>
          <w:szCs w:val="2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19.咸宁打造华中“养生福地”路径研究</w:t>
      </w:r>
    </w:p>
    <w:p w:rsidR="00FC5869" w:rsidRDefault="00FC5869" w:rsidP="00FC5869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20.统筹推进咸宁水系治理对策研究</w:t>
      </w:r>
    </w:p>
    <w:p w:rsidR="00797309" w:rsidRPr="00FC5869" w:rsidRDefault="00797309">
      <w:bookmarkStart w:id="0" w:name="_GoBack"/>
      <w:bookmarkEnd w:id="0"/>
    </w:p>
    <w:sectPr w:rsidR="00797309" w:rsidRPr="00FC58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1A1"/>
    <w:rsid w:val="00797309"/>
    <w:rsid w:val="00C821A1"/>
    <w:rsid w:val="00FC5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C586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FC586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C586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FC58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95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</Words>
  <Characters>536</Characters>
  <Application>Microsoft Office Word</Application>
  <DocSecurity>0</DocSecurity>
  <Lines>4</Lines>
  <Paragraphs>1</Paragraphs>
  <ScaleCrop>false</ScaleCrop>
  <Company>咸宁职业技术学院</Company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万晓</dc:creator>
  <cp:keywords/>
  <dc:description/>
  <cp:lastModifiedBy>万晓</cp:lastModifiedBy>
  <cp:revision>2</cp:revision>
  <dcterms:created xsi:type="dcterms:W3CDTF">2020-04-17T08:28:00Z</dcterms:created>
  <dcterms:modified xsi:type="dcterms:W3CDTF">2020-04-17T08:28:00Z</dcterms:modified>
</cp:coreProperties>
</file>